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CDC4" w14:textId="77777777" w:rsidR="00CE38F6" w:rsidRDefault="00AA2383">
      <w:pPr>
        <w:pStyle w:val="kirjapealkiri"/>
        <w:spacing w:before="0" w:after="480"/>
        <w:rPr>
          <w:b/>
          <w:bCs/>
        </w:rPr>
      </w:pPr>
      <w:r>
        <w:rPr>
          <w:b/>
          <w:bCs/>
        </w:rPr>
        <w:t>Tallinna mnt 40 haruraudtee ühenduse projekti märkused</w:t>
      </w:r>
    </w:p>
    <w:p w14:paraId="2C6ACDC5" w14:textId="3E3049DF" w:rsidR="00CE38F6" w:rsidRPr="00B21391" w:rsidRDefault="00AA2383">
      <w:pPr>
        <w:pStyle w:val="Loendilik"/>
        <w:widowControl/>
        <w:numPr>
          <w:ilvl w:val="0"/>
          <w:numId w:val="2"/>
        </w:numPr>
        <w:suppressAutoHyphens w:val="0"/>
        <w:spacing w:line="240" w:lineRule="auto"/>
        <w:jc w:val="left"/>
        <w:rPr>
          <w:rFonts w:eastAsia="Times New Roman"/>
          <w:color w:val="FF0000"/>
        </w:rPr>
      </w:pPr>
      <w:r>
        <w:rPr>
          <w:rFonts w:eastAsia="Times New Roman"/>
        </w:rPr>
        <w:t xml:space="preserve">Raudteede vahelist konfliktala ei ole lühendatud, telgede vaheline kaugus tuleb peale kanda asendiplaanile ja mnt </w:t>
      </w:r>
      <w:proofErr w:type="spellStart"/>
      <w:r>
        <w:rPr>
          <w:rFonts w:eastAsia="Times New Roman"/>
        </w:rPr>
        <w:t>pikilõikel</w:t>
      </w:r>
      <w:proofErr w:type="spellEnd"/>
      <w:r>
        <w:rPr>
          <w:rFonts w:eastAsia="Times New Roman"/>
        </w:rPr>
        <w:t xml:space="preserve"> 6-6.</w:t>
      </w:r>
      <w:r w:rsidR="00B21391">
        <w:rPr>
          <w:rFonts w:eastAsia="Times New Roman"/>
        </w:rPr>
        <w:t xml:space="preserve"> </w:t>
      </w:r>
      <w:r w:rsidR="00D06E89" w:rsidRPr="00294109">
        <w:rPr>
          <w:rFonts w:eastAsia="Times New Roman"/>
          <w:color w:val="4EA72E" w:themeColor="accent6"/>
        </w:rPr>
        <w:t>Lõiget 6-6 on täiendatud</w:t>
      </w:r>
    </w:p>
    <w:p w14:paraId="2C6ACDC6" w14:textId="3137D561" w:rsidR="00CE38F6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Raudteeületus ei ole riigitee suhtes sümmeetriline. Miks?</w:t>
      </w:r>
      <w:r w:rsidR="00B21391" w:rsidRPr="00B21391">
        <w:rPr>
          <w:rFonts w:eastAsia="Times New Roman"/>
          <w:color w:val="FF0000"/>
          <w:szCs w:val="24"/>
        </w:rPr>
        <w:t xml:space="preserve"> </w:t>
      </w:r>
      <w:r w:rsidR="00983B80" w:rsidRPr="00ED53E1">
        <w:rPr>
          <w:rFonts w:eastAsia="Times New Roman"/>
          <w:color w:val="4EA72E" w:themeColor="accent6"/>
          <w:szCs w:val="24"/>
        </w:rPr>
        <w:t xml:space="preserve">Raudtee järgib olemasoleva raudtee haru sihti millega liitutakse ning </w:t>
      </w:r>
      <w:r w:rsidR="006E4C2A" w:rsidRPr="00ED53E1">
        <w:rPr>
          <w:rFonts w:eastAsia="Times New Roman"/>
          <w:color w:val="4EA72E" w:themeColor="accent6"/>
          <w:szCs w:val="24"/>
        </w:rPr>
        <w:t xml:space="preserve">EVR ei lubanud lähemale minna. </w:t>
      </w:r>
    </w:p>
    <w:p w14:paraId="2C6ACDC7" w14:textId="51BB4018" w:rsidR="00CE38F6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Lisada nähtavuskolmnurgad.</w:t>
      </w:r>
      <w:r w:rsidR="00B21391">
        <w:rPr>
          <w:rFonts w:eastAsia="Times New Roman"/>
          <w:szCs w:val="24"/>
        </w:rPr>
        <w:t xml:space="preserve"> </w:t>
      </w:r>
      <w:r w:rsidR="00B21391" w:rsidRPr="00ED53E1">
        <w:rPr>
          <w:rFonts w:eastAsia="Times New Roman"/>
          <w:color w:val="4EA72E" w:themeColor="accent6"/>
          <w:szCs w:val="24"/>
        </w:rPr>
        <w:t>Raudteel ei ole vaja</w:t>
      </w:r>
      <w:r w:rsidR="00D96DF8" w:rsidRPr="00ED53E1">
        <w:rPr>
          <w:rFonts w:eastAsia="Times New Roman"/>
          <w:color w:val="4EA72E" w:themeColor="accent6"/>
          <w:szCs w:val="24"/>
        </w:rPr>
        <w:t xml:space="preserve">, kuna ülesõidul on </w:t>
      </w:r>
      <w:r w:rsidR="006258A2" w:rsidRPr="00ED53E1">
        <w:rPr>
          <w:rFonts w:eastAsia="Times New Roman"/>
          <w:color w:val="4EA72E" w:themeColor="accent6"/>
          <w:szCs w:val="24"/>
        </w:rPr>
        <w:t>tõkkepuu ja foor</w:t>
      </w:r>
      <w:r w:rsidR="00B21391" w:rsidRPr="00ED53E1">
        <w:rPr>
          <w:rFonts w:eastAsia="Times New Roman"/>
          <w:color w:val="4EA72E" w:themeColor="accent6"/>
          <w:szCs w:val="24"/>
        </w:rPr>
        <w:t xml:space="preserve">. </w:t>
      </w:r>
      <w:proofErr w:type="spellStart"/>
      <w:r w:rsidR="008B6F54" w:rsidRPr="00ED53E1">
        <w:rPr>
          <w:rFonts w:eastAsia="Times New Roman"/>
          <w:color w:val="4EA72E" w:themeColor="accent6"/>
          <w:szCs w:val="24"/>
        </w:rPr>
        <w:t>Mahasõitudele</w:t>
      </w:r>
      <w:proofErr w:type="spellEnd"/>
      <w:r w:rsidR="008B6F54" w:rsidRPr="00ED53E1">
        <w:rPr>
          <w:rFonts w:eastAsia="Times New Roman"/>
          <w:color w:val="4EA72E" w:themeColor="accent6"/>
          <w:szCs w:val="24"/>
        </w:rPr>
        <w:t xml:space="preserve"> lisatud.</w:t>
      </w:r>
    </w:p>
    <w:p w14:paraId="2C6ACDC8" w14:textId="4E6E0B21" w:rsidR="00CE38F6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Katte uuendamine näha ette kuni töömahtude piirini.</w:t>
      </w:r>
      <w:r w:rsidR="00B45553">
        <w:rPr>
          <w:rFonts w:eastAsia="Times New Roman"/>
          <w:color w:val="FF0000"/>
          <w:szCs w:val="24"/>
        </w:rPr>
        <w:t xml:space="preserve"> </w:t>
      </w:r>
      <w:r w:rsidR="00B45553" w:rsidRPr="00B45553">
        <w:rPr>
          <w:rFonts w:eastAsia="Times New Roman"/>
          <w:color w:val="4EA72E" w:themeColor="accent6"/>
          <w:szCs w:val="24"/>
        </w:rPr>
        <w:t>Tehtud</w:t>
      </w:r>
    </w:p>
    <w:p w14:paraId="2C6ACDC9" w14:textId="6BA09D43" w:rsidR="00CE38F6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Asendiplaanile kanda mõõtketid, pöörderaadiused pöördekoridoridega, eemaldada kõrgusinfo.</w:t>
      </w:r>
      <w:r w:rsidR="00C22C69">
        <w:rPr>
          <w:rFonts w:eastAsia="Times New Roman"/>
          <w:szCs w:val="24"/>
        </w:rPr>
        <w:t xml:space="preserve"> </w:t>
      </w:r>
      <w:r w:rsidR="00261880" w:rsidRPr="00261880">
        <w:rPr>
          <w:rFonts w:eastAsia="Times New Roman"/>
          <w:color w:val="4EA72E" w:themeColor="accent6"/>
          <w:szCs w:val="24"/>
        </w:rPr>
        <w:t xml:space="preserve"> </w:t>
      </w:r>
      <w:r w:rsidR="00261880" w:rsidRPr="00B45553">
        <w:rPr>
          <w:rFonts w:eastAsia="Times New Roman"/>
          <w:color w:val="4EA72E" w:themeColor="accent6"/>
          <w:szCs w:val="24"/>
        </w:rPr>
        <w:t>Tehtud</w:t>
      </w:r>
    </w:p>
    <w:p w14:paraId="2C6ACDCA" w14:textId="1DF8F0D0" w:rsidR="00CE38F6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Vertikaaljoonisele puuduvad </w:t>
      </w:r>
      <w:proofErr w:type="spellStart"/>
      <w:r>
        <w:rPr>
          <w:rFonts w:eastAsia="Times New Roman"/>
          <w:szCs w:val="24"/>
        </w:rPr>
        <w:t>proj</w:t>
      </w:r>
      <w:proofErr w:type="spellEnd"/>
      <w:r>
        <w:rPr>
          <w:rFonts w:eastAsia="Times New Roman"/>
          <w:szCs w:val="24"/>
        </w:rPr>
        <w:t xml:space="preserve"> truupide andmed, olemasolevate truupide andmed, lisada eelvooluks oleva kraavi voolusuund ja kraavi põhi profileerida. Jooniselt ei tule välja likvideeritav truup. Eemaldada mõõtketid, mis on AP osa.</w:t>
      </w:r>
      <w:r w:rsidR="00C22C69">
        <w:rPr>
          <w:rFonts w:eastAsia="Times New Roman"/>
          <w:szCs w:val="24"/>
        </w:rPr>
        <w:t xml:space="preserve"> </w:t>
      </w:r>
      <w:r w:rsidR="006659A4" w:rsidRPr="00B45553">
        <w:rPr>
          <w:rFonts w:eastAsia="Times New Roman"/>
          <w:color w:val="4EA72E" w:themeColor="accent6"/>
          <w:szCs w:val="24"/>
        </w:rPr>
        <w:t>Tehtud</w:t>
      </w:r>
    </w:p>
    <w:p w14:paraId="2C6ACDCB" w14:textId="5F74A2F8" w:rsidR="00CE38F6" w:rsidRPr="00C22C69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rFonts w:eastAsia="Times New Roman"/>
          <w:color w:val="FF0000"/>
          <w:szCs w:val="24"/>
        </w:rPr>
      </w:pPr>
      <w:r>
        <w:rPr>
          <w:rFonts w:eastAsia="Times New Roman"/>
          <w:szCs w:val="24"/>
        </w:rPr>
        <w:t xml:space="preserve">Mnt </w:t>
      </w:r>
      <w:proofErr w:type="spellStart"/>
      <w:r>
        <w:rPr>
          <w:rFonts w:eastAsia="Times New Roman"/>
          <w:szCs w:val="24"/>
        </w:rPr>
        <w:t>pikilõikel</w:t>
      </w:r>
      <w:proofErr w:type="spellEnd"/>
      <w:r>
        <w:rPr>
          <w:rFonts w:eastAsia="Times New Roman"/>
          <w:szCs w:val="24"/>
        </w:rPr>
        <w:t xml:space="preserve"> 6-6 on näidatud riigitee alune truup olemasolevana, kuid likvideeritakse? </w:t>
      </w:r>
      <w:r w:rsidR="00ED573E" w:rsidRPr="00ED573E">
        <w:rPr>
          <w:rFonts w:eastAsia="Times New Roman"/>
          <w:color w:val="4EA72E" w:themeColor="accent6"/>
          <w:szCs w:val="24"/>
        </w:rPr>
        <w:t>Ongi likvideeritav</w:t>
      </w:r>
      <w:r w:rsidR="00294109">
        <w:rPr>
          <w:rFonts w:eastAsia="Times New Roman"/>
          <w:color w:val="4EA72E" w:themeColor="accent6"/>
          <w:szCs w:val="24"/>
        </w:rPr>
        <w:t xml:space="preserve"> ja selliselt ka tähistatud.</w:t>
      </w:r>
    </w:p>
    <w:p w14:paraId="2C6ACDCC" w14:textId="330CC29E" w:rsidR="00CE38F6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Ei saa nõustuda, et truupide </w:t>
      </w:r>
      <w:proofErr w:type="spellStart"/>
      <w:r>
        <w:rPr>
          <w:rFonts w:eastAsia="Times New Roman"/>
          <w:szCs w:val="24"/>
        </w:rPr>
        <w:t>dimensioneerimine</w:t>
      </w:r>
      <w:proofErr w:type="spellEnd"/>
      <w:r>
        <w:rPr>
          <w:rFonts w:eastAsia="Times New Roman"/>
          <w:szCs w:val="24"/>
        </w:rPr>
        <w:t xml:space="preserve"> ja vooluhulkade arvutused tehakse projekti järgmises staadiumis. </w:t>
      </w:r>
      <w:r w:rsidR="00ED0414" w:rsidRPr="00294109">
        <w:rPr>
          <w:rFonts w:eastAsia="Times New Roman"/>
          <w:color w:val="4EA72E" w:themeColor="accent6"/>
          <w:szCs w:val="24"/>
        </w:rPr>
        <w:t>K</w:t>
      </w:r>
      <w:r w:rsidR="00C22C69" w:rsidRPr="00294109">
        <w:rPr>
          <w:rFonts w:eastAsia="Times New Roman"/>
          <w:color w:val="4EA72E" w:themeColor="accent6"/>
          <w:szCs w:val="24"/>
        </w:rPr>
        <w:t>raavid ja truubid ei ole</w:t>
      </w:r>
      <w:r w:rsidR="00CE5926" w:rsidRPr="00294109">
        <w:rPr>
          <w:rFonts w:eastAsia="Times New Roman"/>
          <w:color w:val="4EA72E" w:themeColor="accent6"/>
          <w:szCs w:val="24"/>
        </w:rPr>
        <w:t xml:space="preserve"> otseselt</w:t>
      </w:r>
      <w:r w:rsidR="00C22C69" w:rsidRPr="00294109">
        <w:rPr>
          <w:rFonts w:eastAsia="Times New Roman"/>
          <w:color w:val="4EA72E" w:themeColor="accent6"/>
          <w:szCs w:val="24"/>
        </w:rPr>
        <w:t xml:space="preserve"> riigiteega seotud</w:t>
      </w:r>
      <w:r w:rsidR="00CE5926" w:rsidRPr="00294109">
        <w:rPr>
          <w:rFonts w:eastAsia="Times New Roman"/>
          <w:color w:val="4EA72E" w:themeColor="accent6"/>
          <w:szCs w:val="24"/>
        </w:rPr>
        <w:t>,</w:t>
      </w:r>
      <w:r w:rsidR="00C22C69" w:rsidRPr="00294109">
        <w:rPr>
          <w:rFonts w:eastAsia="Times New Roman"/>
          <w:color w:val="4EA72E" w:themeColor="accent6"/>
          <w:szCs w:val="24"/>
        </w:rPr>
        <w:t xml:space="preserve"> </w:t>
      </w:r>
      <w:r w:rsidR="00002F39" w:rsidRPr="00294109">
        <w:rPr>
          <w:rFonts w:eastAsia="Times New Roman"/>
          <w:color w:val="4EA72E" w:themeColor="accent6"/>
          <w:szCs w:val="24"/>
        </w:rPr>
        <w:t>v</w:t>
      </w:r>
      <w:r w:rsidR="00C22C69" w:rsidRPr="00294109">
        <w:rPr>
          <w:rFonts w:eastAsia="Times New Roman"/>
          <w:color w:val="4EA72E" w:themeColor="accent6"/>
          <w:szCs w:val="24"/>
        </w:rPr>
        <w:t xml:space="preserve">esi </w:t>
      </w:r>
      <w:r w:rsidR="00002F39" w:rsidRPr="00294109">
        <w:rPr>
          <w:rFonts w:eastAsia="Times New Roman"/>
          <w:color w:val="4EA72E" w:themeColor="accent6"/>
          <w:szCs w:val="24"/>
        </w:rPr>
        <w:t>on juhitud maanteest eemale</w:t>
      </w:r>
      <w:r w:rsidR="00C22C69" w:rsidRPr="00294109">
        <w:rPr>
          <w:rFonts w:eastAsia="Times New Roman"/>
          <w:color w:val="4EA72E" w:themeColor="accent6"/>
          <w:szCs w:val="24"/>
        </w:rPr>
        <w:t>.</w:t>
      </w:r>
      <w:r w:rsidR="00002F39" w:rsidRPr="00294109">
        <w:rPr>
          <w:rFonts w:eastAsia="Times New Roman"/>
          <w:color w:val="4EA72E" w:themeColor="accent6"/>
          <w:szCs w:val="24"/>
        </w:rPr>
        <w:t xml:space="preserve"> Täpsustasime olemasoleva kraavi </w:t>
      </w:r>
      <w:r w:rsidR="006274BD" w:rsidRPr="00294109">
        <w:rPr>
          <w:rFonts w:eastAsia="Times New Roman"/>
          <w:color w:val="4EA72E" w:themeColor="accent6"/>
          <w:szCs w:val="24"/>
        </w:rPr>
        <w:t>puhastamise mahtu.</w:t>
      </w:r>
      <w:r w:rsidR="000F694C" w:rsidRPr="00294109">
        <w:rPr>
          <w:rFonts w:eastAsia="Times New Roman"/>
          <w:color w:val="4EA72E" w:themeColor="accent6"/>
          <w:szCs w:val="24"/>
        </w:rPr>
        <w:t xml:space="preserve"> </w:t>
      </w:r>
      <w:r w:rsidR="00B2244B" w:rsidRPr="00294109">
        <w:rPr>
          <w:rFonts w:eastAsia="Times New Roman"/>
          <w:color w:val="4EA72E" w:themeColor="accent6"/>
          <w:szCs w:val="24"/>
        </w:rPr>
        <w:t xml:space="preserve"> </w:t>
      </w:r>
      <w:r w:rsidR="00F315C1" w:rsidRPr="00294109">
        <w:rPr>
          <w:rFonts w:eastAsia="Times New Roman"/>
          <w:color w:val="4EA72E" w:themeColor="accent6"/>
          <w:szCs w:val="24"/>
        </w:rPr>
        <w:t>Vertikaalplaneerimise joonisel on välja toodud ka kraavi põhja kõrguseid.</w:t>
      </w:r>
    </w:p>
    <w:p w14:paraId="2C6ACDCD" w14:textId="6DF72DE1" w:rsidR="00CE38F6" w:rsidRPr="00C22C69" w:rsidRDefault="00AA2383">
      <w:pPr>
        <w:pStyle w:val="Loendilik"/>
        <w:widowControl/>
        <w:numPr>
          <w:ilvl w:val="0"/>
          <w:numId w:val="1"/>
        </w:numPr>
        <w:suppressAutoHyphens w:val="0"/>
        <w:spacing w:line="240" w:lineRule="auto"/>
        <w:contextualSpacing w:val="0"/>
        <w:jc w:val="left"/>
        <w:rPr>
          <w:color w:val="FF0000"/>
        </w:rPr>
      </w:pPr>
      <w:r>
        <w:rPr>
          <w:rFonts w:eastAsia="Times New Roman"/>
          <w:szCs w:val="24"/>
        </w:rPr>
        <w:t xml:space="preserve">Puudub riskihinnang. </w:t>
      </w:r>
      <w:r w:rsidR="00C22C69" w:rsidRPr="00BD63DB">
        <w:rPr>
          <w:rFonts w:eastAsia="Times New Roman"/>
          <w:color w:val="4EA72E" w:themeColor="accent6"/>
          <w:szCs w:val="24"/>
        </w:rPr>
        <w:t>Seletuskirjas olemas</w:t>
      </w:r>
      <w:r w:rsidR="005F7121" w:rsidRPr="00BD63DB">
        <w:rPr>
          <w:rFonts w:eastAsia="Times New Roman"/>
          <w:color w:val="4EA72E" w:themeColor="accent6"/>
          <w:szCs w:val="24"/>
        </w:rPr>
        <w:t xml:space="preserve"> punkt 4.4. Selle koostasime vastavalt varasemale telefonivestlusele Transpordiameti spetsialistiga.</w:t>
      </w:r>
    </w:p>
    <w:p w14:paraId="2C6ACDCE" w14:textId="77777777" w:rsidR="00CE38F6" w:rsidRDefault="00CE38F6">
      <w:pPr>
        <w:pStyle w:val="Loendilik"/>
        <w:widowControl/>
        <w:suppressAutoHyphens w:val="0"/>
        <w:spacing w:line="240" w:lineRule="auto"/>
        <w:contextualSpacing w:val="0"/>
        <w:jc w:val="left"/>
        <w:rPr>
          <w:szCs w:val="24"/>
        </w:rPr>
      </w:pPr>
    </w:p>
    <w:p w14:paraId="2C6ACDCF" w14:textId="77777777" w:rsidR="00CE38F6" w:rsidRDefault="00AA2383">
      <w:pPr>
        <w:spacing w:line="240" w:lineRule="auto"/>
      </w:pPr>
      <w:r>
        <w:rPr>
          <w:noProof/>
        </w:rPr>
        <w:drawing>
          <wp:inline distT="0" distB="0" distL="0" distR="0" wp14:anchorId="2C6ACDC4" wp14:editId="2C6ACDC5">
            <wp:extent cx="3662226" cy="2701201"/>
            <wp:effectExtent l="0" t="0" r="0" b="3899"/>
            <wp:docPr id="810693086" name="Pil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2226" cy="2701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6ACDD0" w14:textId="77777777" w:rsidR="00CE38F6" w:rsidRDefault="00CE38F6">
      <w:pPr>
        <w:spacing w:line="240" w:lineRule="auto"/>
      </w:pPr>
    </w:p>
    <w:p w14:paraId="2C6ACDD1" w14:textId="77777777" w:rsidR="00CE38F6" w:rsidRDefault="00CE38F6">
      <w:pPr>
        <w:spacing w:line="240" w:lineRule="auto"/>
      </w:pPr>
    </w:p>
    <w:p w14:paraId="2C6ACDD2" w14:textId="77777777" w:rsidR="00CE38F6" w:rsidRDefault="00AA2383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Mipro</w:t>
      </w:r>
      <w:proofErr w:type="spellEnd"/>
      <w:r>
        <w:rPr>
          <w:b/>
          <w:bCs/>
        </w:rPr>
        <w:t xml:space="preserve"> Eesti OÜ tööd nr ME2401:</w:t>
      </w:r>
    </w:p>
    <w:p w14:paraId="2C6ACDD3" w14:textId="77777777" w:rsidR="00CE38F6" w:rsidRDefault="00CE38F6">
      <w:pPr>
        <w:spacing w:line="240" w:lineRule="auto"/>
      </w:pPr>
    </w:p>
    <w:p w14:paraId="2C6ACDD4" w14:textId="06D795E0" w:rsidR="00CE38F6" w:rsidRPr="00CD0277" w:rsidRDefault="00AA2383">
      <w:pPr>
        <w:spacing w:line="240" w:lineRule="auto"/>
        <w:rPr>
          <w:color w:val="FF0000"/>
        </w:rPr>
      </w:pPr>
      <w:r>
        <w:t>1.Projektis puudub kaabeldus ümbertõstetava B, AFS toite juhtimissüsteemide kohta?</w:t>
      </w:r>
      <w:r w:rsidR="00CD0277">
        <w:t xml:space="preserve"> </w:t>
      </w:r>
      <w:proofErr w:type="spellStart"/>
      <w:r w:rsidR="00CD0277" w:rsidRPr="00BD63DB">
        <w:rPr>
          <w:color w:val="4EA72E" w:themeColor="accent6"/>
        </w:rPr>
        <w:t>Mipro</w:t>
      </w:r>
      <w:proofErr w:type="spellEnd"/>
      <w:r w:rsidR="00CD0277" w:rsidRPr="00BD63DB">
        <w:rPr>
          <w:color w:val="4EA72E" w:themeColor="accent6"/>
        </w:rPr>
        <w:t xml:space="preserve"> töös kaablite asendiplaani ei ole. Kaablid on nähtavad K-Projekt</w:t>
      </w:r>
      <w:r w:rsidR="005B41B3">
        <w:rPr>
          <w:color w:val="4EA72E" w:themeColor="accent6"/>
        </w:rPr>
        <w:t xml:space="preserve"> </w:t>
      </w:r>
      <w:r w:rsidR="00CD0277" w:rsidRPr="00BD63DB">
        <w:rPr>
          <w:color w:val="4EA72E" w:themeColor="accent6"/>
        </w:rPr>
        <w:t xml:space="preserve"> </w:t>
      </w:r>
      <w:r w:rsidR="005B41B3">
        <w:rPr>
          <w:color w:val="4EA72E" w:themeColor="accent6"/>
        </w:rPr>
        <w:t>Raudtee</w:t>
      </w:r>
      <w:r w:rsidR="00CD0277" w:rsidRPr="00BD63DB">
        <w:rPr>
          <w:color w:val="4EA72E" w:themeColor="accent6"/>
        </w:rPr>
        <w:t xml:space="preserve"> asendiplaanil.</w:t>
      </w:r>
    </w:p>
    <w:p w14:paraId="2C6ACDD5" w14:textId="4EBDEDE3" w:rsidR="00CE38F6" w:rsidRPr="003E266E" w:rsidRDefault="00AA2383">
      <w:pPr>
        <w:spacing w:line="240" w:lineRule="auto"/>
        <w:rPr>
          <w:color w:val="4EA72E" w:themeColor="accent6"/>
        </w:rPr>
      </w:pPr>
      <w:r>
        <w:t xml:space="preserve">2.Projekti ME2401 asendiplaani joonis EA—03 ei ühti </w:t>
      </w:r>
      <w:proofErr w:type="spellStart"/>
      <w:r>
        <w:t>K-Projekti</w:t>
      </w:r>
      <w:proofErr w:type="spellEnd"/>
      <w:r>
        <w:t xml:space="preserve"> asendiplaani joonisega sh likvideeritavad, ehitatavad  truubid, </w:t>
      </w:r>
      <w:proofErr w:type="spellStart"/>
      <w:r>
        <w:t>mahasõidud</w:t>
      </w:r>
      <w:proofErr w:type="spellEnd"/>
      <w:r>
        <w:t xml:space="preserve"> jne </w:t>
      </w:r>
      <w:r w:rsidR="009849B6" w:rsidRPr="003E266E">
        <w:rPr>
          <w:color w:val="4EA72E" w:themeColor="accent6"/>
        </w:rPr>
        <w:t>Joonised ühtivad</w:t>
      </w:r>
    </w:p>
    <w:p w14:paraId="2C6ACDD6" w14:textId="77777777" w:rsidR="00CE38F6" w:rsidRDefault="00AA2383">
      <w:pPr>
        <w:spacing w:line="240" w:lineRule="auto"/>
      </w:pPr>
      <w:r>
        <w:t>3.Töö nr ME2401 Joonisel nr EA-5-03 tingmärkides on</w:t>
      </w:r>
    </w:p>
    <w:p w14:paraId="2C6ACDD7" w14:textId="77777777" w:rsidR="00CE38F6" w:rsidRDefault="00AA2383">
      <w:pPr>
        <w:spacing w:line="240" w:lineRule="auto"/>
      </w:pPr>
      <w:r>
        <w:t xml:space="preserve"> </w:t>
      </w:r>
    </w:p>
    <w:p w14:paraId="2C6ACDD8" w14:textId="6B7F6819" w:rsidR="00CE38F6" w:rsidRPr="00FE4227" w:rsidRDefault="00AA2383">
      <w:pPr>
        <w:spacing w:line="240" w:lineRule="auto"/>
        <w:rPr>
          <w:color w:val="FF0000"/>
        </w:rPr>
      </w:pPr>
      <w:r>
        <w:t>Küsimus, kas ka A, AFS ehitatakse ümber?</w:t>
      </w:r>
      <w:r w:rsidR="003053A6">
        <w:t xml:space="preserve"> </w:t>
      </w:r>
      <w:r w:rsidR="00FE4227" w:rsidRPr="00DD23EB">
        <w:rPr>
          <w:color w:val="4EA72E" w:themeColor="accent6"/>
        </w:rPr>
        <w:t>A, AFS ei ehitata ümber ja jääb paika.</w:t>
      </w:r>
    </w:p>
    <w:p w14:paraId="2C6ACDD9" w14:textId="77777777" w:rsidR="00CE38F6" w:rsidRDefault="00AA2383">
      <w:pPr>
        <w:spacing w:line="240" w:lineRule="auto"/>
      </w:pPr>
      <w:r>
        <w:t xml:space="preserve"> </w:t>
      </w:r>
    </w:p>
    <w:p w14:paraId="2C6ACDDA" w14:textId="77777777" w:rsidR="00CE38F6" w:rsidRDefault="00AA2383">
      <w:pPr>
        <w:spacing w:line="240" w:lineRule="auto"/>
      </w:pPr>
      <w:r>
        <w:t xml:space="preserve">Üldjuhul AFS projekteerimisel tuginetakse nn riskihinnangule ning kõikides manuses olevates </w:t>
      </w:r>
      <w:proofErr w:type="spellStart"/>
      <w:r>
        <w:lastRenderedPageBreak/>
        <w:t>doc</w:t>
      </w:r>
      <w:proofErr w:type="spellEnd"/>
      <w:r>
        <w:t xml:space="preserve">-des on viide „rakendusmääruse 402/2013 riskihindamise ühise ohutusmeetodi artikkel 5 näeb ette raudteeinfrastruktuuri-ettevõtja kohustuse teostada </w:t>
      </w:r>
      <w:proofErr w:type="spellStart"/>
      <w:r>
        <w:t>riskijuhtimismenetlus</w:t>
      </w:r>
      <w:proofErr w:type="spellEnd"/>
      <w:r>
        <w:t xml:space="preserve"> lisa I alusel“. </w:t>
      </w:r>
    </w:p>
    <w:p w14:paraId="2C6ACDDB" w14:textId="77777777" w:rsidR="00CE38F6" w:rsidRDefault="00CE38F6">
      <w:pPr>
        <w:spacing w:line="240" w:lineRule="auto"/>
      </w:pPr>
    </w:p>
    <w:p w14:paraId="2C6ACDDC" w14:textId="77777777" w:rsidR="00CE38F6" w:rsidRDefault="00AA2383">
      <w:pPr>
        <w:spacing w:line="240" w:lineRule="auto"/>
      </w:pPr>
      <w:r>
        <w:rPr>
          <w:noProof/>
        </w:rPr>
        <w:drawing>
          <wp:inline distT="0" distB="0" distL="0" distR="0" wp14:anchorId="2C6ACDC6" wp14:editId="2C6ACDC7">
            <wp:extent cx="3118506" cy="1629149"/>
            <wp:effectExtent l="0" t="0" r="5694" b="9151"/>
            <wp:docPr id="1956537567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8506" cy="16291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6ACDDD" w14:textId="77777777" w:rsidR="00CE38F6" w:rsidRDefault="00CE38F6">
      <w:pPr>
        <w:spacing w:line="240" w:lineRule="auto"/>
      </w:pPr>
    </w:p>
    <w:p w14:paraId="2C6ACDDE" w14:textId="51D68258" w:rsidR="00CE38F6" w:rsidRPr="002941F2" w:rsidRDefault="00AA2383">
      <w:pPr>
        <w:spacing w:line="240" w:lineRule="auto"/>
        <w:rPr>
          <w:color w:val="FF0000"/>
        </w:rPr>
      </w:pPr>
      <w:r>
        <w:t>Kuna kavandatakse juurde ehitada veel üks rööpapaar, siis tuleb ümber ehitada kogu olemasolev kaabeldus ja seda mõlema B ja A foori, tõkkepuu juures, seda aga kusagil ei kajastu.</w:t>
      </w:r>
      <w:r w:rsidR="002941F2">
        <w:t xml:space="preserve"> </w:t>
      </w:r>
      <w:r w:rsidR="002941F2" w:rsidRPr="005A3189">
        <w:rPr>
          <w:color w:val="4EA72E" w:themeColor="accent6"/>
        </w:rPr>
        <w:t xml:space="preserve">Vastavalt infole </w:t>
      </w:r>
      <w:proofErr w:type="spellStart"/>
      <w:r w:rsidR="002941F2" w:rsidRPr="005A3189">
        <w:rPr>
          <w:color w:val="4EA72E" w:themeColor="accent6"/>
        </w:rPr>
        <w:t>Miprost</w:t>
      </w:r>
      <w:proofErr w:type="spellEnd"/>
      <w:r w:rsidR="002941F2" w:rsidRPr="005A3189">
        <w:rPr>
          <w:color w:val="4EA72E" w:themeColor="accent6"/>
        </w:rPr>
        <w:t xml:space="preserve"> ei ole põhjust ja vajadust </w:t>
      </w:r>
      <w:r w:rsidR="0062758A" w:rsidRPr="005A3189">
        <w:rPr>
          <w:color w:val="4EA72E" w:themeColor="accent6"/>
        </w:rPr>
        <w:t>A foori ümberehitamiseks, kuna see säilib olemasolevas asukohas. Foor B ehitatakse ümber uues asukohas. Vajalikud olemasolevad automaatika andurid raudteel paigaldatakse uuele asukohale.</w:t>
      </w:r>
    </w:p>
    <w:p w14:paraId="2C6ACDDF" w14:textId="77777777" w:rsidR="00CE38F6" w:rsidRDefault="00CE38F6">
      <w:pPr>
        <w:spacing w:line="240" w:lineRule="auto"/>
      </w:pPr>
    </w:p>
    <w:p w14:paraId="2C6ACDE0" w14:textId="77777777" w:rsidR="00CE38F6" w:rsidRDefault="00AA2383">
      <w:pPr>
        <w:spacing w:line="240" w:lineRule="auto"/>
      </w:pPr>
      <w:r>
        <w:t>Täiendavalt.</w:t>
      </w:r>
    </w:p>
    <w:p w14:paraId="2C6ACDE1" w14:textId="77777777" w:rsidR="00CE38F6" w:rsidRDefault="00CE38F6">
      <w:pPr>
        <w:spacing w:line="240" w:lineRule="auto"/>
      </w:pPr>
    </w:p>
    <w:p w14:paraId="2C6ACDE2" w14:textId="77777777" w:rsidR="00CE38F6" w:rsidRDefault="00AA2383">
      <w:pPr>
        <w:spacing w:line="240" w:lineRule="auto"/>
      </w:pPr>
      <w:r>
        <w:t>1.Üldised märkused.</w:t>
      </w:r>
    </w:p>
    <w:p w14:paraId="2C6ACDE3" w14:textId="529EEA40" w:rsidR="00CE38F6" w:rsidRDefault="00AA2383">
      <w:pPr>
        <w:pStyle w:val="Loendilik"/>
        <w:numPr>
          <w:ilvl w:val="0"/>
          <w:numId w:val="3"/>
        </w:numPr>
        <w:spacing w:line="240" w:lineRule="auto"/>
      </w:pPr>
      <w:r>
        <w:t>Töömahtude ja projektala piir peavad kattuma;</w:t>
      </w:r>
      <w:r w:rsidR="00EB797E">
        <w:t xml:space="preserve"> </w:t>
      </w:r>
      <w:r w:rsidR="00B45553">
        <w:rPr>
          <w:color w:val="FF0000"/>
        </w:rPr>
        <w:t xml:space="preserve"> </w:t>
      </w:r>
      <w:r w:rsidR="00B45553" w:rsidRPr="00B45553">
        <w:rPr>
          <w:rFonts w:eastAsia="Times New Roman"/>
          <w:color w:val="4EA72E" w:themeColor="accent6"/>
          <w:szCs w:val="24"/>
        </w:rPr>
        <w:t>Tehtud</w:t>
      </w:r>
    </w:p>
    <w:p w14:paraId="2C6ACDE4" w14:textId="07BDBE5B" w:rsidR="00CE38F6" w:rsidRDefault="00AA2383">
      <w:pPr>
        <w:pStyle w:val="Loendilik"/>
        <w:numPr>
          <w:ilvl w:val="0"/>
          <w:numId w:val="3"/>
        </w:numPr>
      </w:pPr>
      <w:r>
        <w:t xml:space="preserve">Lisada maantee liikluskorralduse joonis. Palun lähtuda Riigiteede liikluskorralduse juhendist lehekülg ; peatükk 5 Raudteeülesõidukohtade tähistamisest ja esitada raudteeülesõidu liikluskorralduse projekt. : </w:t>
      </w:r>
      <w:r w:rsidR="00EB797E">
        <w:t xml:space="preserve"> </w:t>
      </w:r>
      <w:r w:rsidR="00EB797E" w:rsidRPr="005B41B3">
        <w:rPr>
          <w:color w:val="4EA72E" w:themeColor="accent6"/>
        </w:rPr>
        <w:t xml:space="preserve">Eelprojektis ei ole nõutud. </w:t>
      </w:r>
      <w:hyperlink r:id="rId12" w:history="1">
        <w:r w:rsidR="00EB797E" w:rsidRPr="00245E78">
          <w:rPr>
            <w:rStyle w:val="Hperlink"/>
          </w:rPr>
          <w:t>https://transpordiamet.ee/sites/default/files/documents/2023-01/OT_018_J1_r1_Riigiteede%20liikluskorralduse%20juhend%20%281%29.pdf</w:t>
        </w:r>
      </w:hyperlink>
      <w:r>
        <w:t xml:space="preserve"> </w:t>
      </w:r>
    </w:p>
    <w:p w14:paraId="2C6ACDE5" w14:textId="61C6AFB2" w:rsidR="00CE38F6" w:rsidRDefault="00AA2383">
      <w:pPr>
        <w:pStyle w:val="Loendilik"/>
        <w:numPr>
          <w:ilvl w:val="0"/>
          <w:numId w:val="3"/>
        </w:numPr>
        <w:spacing w:line="240" w:lineRule="auto"/>
      </w:pPr>
      <w:r>
        <w:t>Geodeetiline alusplaan peab olema mõõdistatud piisavas ulatuses, mis võimaldab hinnata projektlahendust. Geodeetilisel alusplaani situatsioon peab olema kõrguslikult seotud ja alusplaanile kantud vastavalt M 1:500 mõõdistamistäpsusele.</w:t>
      </w:r>
      <w:r w:rsidR="00EB797E">
        <w:t xml:space="preserve"> </w:t>
      </w:r>
      <w:r w:rsidR="00523E90" w:rsidRPr="00523E90">
        <w:rPr>
          <w:color w:val="4EA72E" w:themeColor="accent6"/>
        </w:rPr>
        <w:t>Täiendatud</w:t>
      </w:r>
    </w:p>
    <w:p w14:paraId="2C6ACDE6" w14:textId="68F7C5DA" w:rsidR="00CE38F6" w:rsidRDefault="00AA2383">
      <w:pPr>
        <w:pStyle w:val="Loendilik"/>
        <w:numPr>
          <w:ilvl w:val="0"/>
          <w:numId w:val="3"/>
        </w:numPr>
        <w:spacing w:line="240" w:lineRule="auto"/>
      </w:pPr>
      <w:r>
        <w:t>Projekt peab olema koostatud selliselt, et see on loetav, vastuoludeta ning erialaspetsialistile arusaadav ja üheselt mõistetav.</w:t>
      </w:r>
      <w:r w:rsidR="00EB797E">
        <w:t xml:space="preserve"> </w:t>
      </w:r>
      <w:r w:rsidR="00D204CD" w:rsidRPr="00B45553">
        <w:rPr>
          <w:rFonts w:eastAsia="Times New Roman"/>
          <w:color w:val="4EA72E" w:themeColor="accent6"/>
          <w:szCs w:val="24"/>
        </w:rPr>
        <w:t>Tehtud</w:t>
      </w:r>
    </w:p>
    <w:p w14:paraId="2C6ACDE7" w14:textId="509F4875" w:rsidR="00CE38F6" w:rsidRPr="00F75421" w:rsidRDefault="00AA2383">
      <w:pPr>
        <w:spacing w:line="240" w:lineRule="auto"/>
        <w:rPr>
          <w:color w:val="FF0000"/>
        </w:rPr>
      </w:pPr>
      <w:bookmarkStart w:id="0" w:name="_Hlk196466139"/>
      <w:r>
        <w:t>2. Riigitee ristumiskohad km 0,62 ja 0,64.</w:t>
      </w:r>
      <w:r w:rsidR="00F75421">
        <w:t xml:space="preserve"> </w:t>
      </w:r>
      <w:r w:rsidR="00D204CD">
        <w:rPr>
          <w:rFonts w:eastAsia="Times New Roman"/>
          <w:color w:val="4EA72E" w:themeColor="accent6"/>
        </w:rPr>
        <w:t>Normis on</w:t>
      </w:r>
      <w:r w:rsidR="00497244">
        <w:rPr>
          <w:rFonts w:eastAsia="Times New Roman"/>
          <w:color w:val="4EA72E" w:themeColor="accent6"/>
        </w:rPr>
        <w:t xml:space="preserve"> „kui peatee AKÖL 150</w:t>
      </w:r>
      <w:r w:rsidR="00153FD3">
        <w:rPr>
          <w:rFonts w:eastAsia="Times New Roman"/>
          <w:color w:val="4EA72E" w:themeColor="accent6"/>
        </w:rPr>
        <w:t>1</w:t>
      </w:r>
      <w:r w:rsidR="00497244">
        <w:rPr>
          <w:rFonts w:eastAsia="Times New Roman"/>
          <w:color w:val="4EA72E" w:themeColor="accent6"/>
        </w:rPr>
        <w:t>-</w:t>
      </w:r>
      <w:r w:rsidR="00153FD3">
        <w:rPr>
          <w:rFonts w:eastAsia="Times New Roman"/>
          <w:color w:val="4EA72E" w:themeColor="accent6"/>
        </w:rPr>
        <w:t>3000 ja kõrvaltee AKÖL &lt;20, siis ristmike omavaheline kaugus on min 50 m“</w:t>
      </w:r>
      <w:r w:rsidR="005A2D31">
        <w:rPr>
          <w:rFonts w:eastAsia="Times New Roman"/>
          <w:color w:val="4EA72E" w:themeColor="accent6"/>
        </w:rPr>
        <w:t xml:space="preserve">. Tegemist on olemasolevate </w:t>
      </w:r>
      <w:proofErr w:type="spellStart"/>
      <w:r w:rsidR="005A2D31">
        <w:rPr>
          <w:rFonts w:eastAsia="Times New Roman"/>
          <w:color w:val="4EA72E" w:themeColor="accent6"/>
        </w:rPr>
        <w:t>mahasõitudega</w:t>
      </w:r>
      <w:proofErr w:type="spellEnd"/>
      <w:r w:rsidR="00B671F5">
        <w:rPr>
          <w:rFonts w:eastAsia="Times New Roman"/>
          <w:color w:val="4EA72E" w:themeColor="accent6"/>
        </w:rPr>
        <w:t xml:space="preserve"> ning ainuke põhjus miks neid projektis käsitletakse on </w:t>
      </w:r>
      <w:r w:rsidR="009A6736">
        <w:rPr>
          <w:rFonts w:eastAsia="Times New Roman"/>
          <w:color w:val="4EA72E" w:themeColor="accent6"/>
        </w:rPr>
        <w:t>vertikaalplaneeringu muutus riigiteel nendes kohtades tulenevalt raudtee ülesõidust. Kompro</w:t>
      </w:r>
      <w:r w:rsidR="00066CBF">
        <w:rPr>
          <w:rFonts w:eastAsia="Times New Roman"/>
          <w:color w:val="4EA72E" w:themeColor="accent6"/>
        </w:rPr>
        <w:t>missina võib lahendada ja „paremale sisse ja paremale välja“ lahendust.</w:t>
      </w:r>
    </w:p>
    <w:p w14:paraId="2C6ACDE8" w14:textId="77777777" w:rsidR="00CE38F6" w:rsidRDefault="00AA2383">
      <w:pPr>
        <w:pStyle w:val="Loendilik"/>
        <w:numPr>
          <w:ilvl w:val="0"/>
          <w:numId w:val="4"/>
        </w:numPr>
      </w:pPr>
      <w:r>
        <w:t>Lisada selgitus riigitee ristumiskohtade km 0,62 (Paldiski raudteejaam R4 58001:001:0177) ja km 0,64 (juurdepääs Tõnise 58001:001:0267) .Liiklussagedus on 1727 autot ööpäevas, kiirusepiirang mõlemal pool on 70 km/h. Ristumiskohtade omavaheline kaugus peab olema vastavuses 17.11.2023 määruse nr 71 „Tee projekteerimise normid“, lisada täiendavalt selgitus ristumiskohtade kasutusfunktsioonide kohta.</w:t>
      </w:r>
    </w:p>
    <w:p w14:paraId="2C6ACDE9" w14:textId="77777777" w:rsidR="00CE38F6" w:rsidRDefault="00AA2383">
      <w:pPr>
        <w:pStyle w:val="Loendilik"/>
        <w:numPr>
          <w:ilvl w:val="0"/>
          <w:numId w:val="4"/>
        </w:numPr>
      </w:pPr>
      <w:r>
        <w:t>Riigitee ristumiskoht km 0,62.</w:t>
      </w:r>
    </w:p>
    <w:p w14:paraId="2C6ACDEA" w14:textId="15F3DFD9" w:rsidR="00CE38F6" w:rsidRDefault="00AA2383">
      <w:pPr>
        <w:pStyle w:val="Loendilik"/>
        <w:numPr>
          <w:ilvl w:val="0"/>
          <w:numId w:val="5"/>
        </w:numPr>
      </w:pPr>
      <w:r>
        <w:t>truubi diameeter , sisse ja väljavoolu kõrgusarvud, sidumine olemasoleva veeäravoolukraaviga;</w:t>
      </w:r>
      <w:r w:rsidR="00066CBF">
        <w:t xml:space="preserve"> </w:t>
      </w:r>
      <w:r w:rsidR="00066CBF">
        <w:rPr>
          <w:color w:val="4EA72E" w:themeColor="accent6"/>
        </w:rPr>
        <w:t>Tehtud</w:t>
      </w:r>
    </w:p>
    <w:p w14:paraId="2C6ACDEB" w14:textId="55EAFA33" w:rsidR="00CE38F6" w:rsidRDefault="00AA2383">
      <w:pPr>
        <w:pStyle w:val="Loendilik"/>
        <w:numPr>
          <w:ilvl w:val="0"/>
          <w:numId w:val="5"/>
        </w:numPr>
      </w:pPr>
      <w:r>
        <w:t>ristumiskoha raadiused, nõlvade kindlustamine;</w:t>
      </w:r>
      <w:r w:rsidR="00E92F38" w:rsidRPr="00E92F38">
        <w:rPr>
          <w:color w:val="4EA72E" w:themeColor="accent6"/>
        </w:rPr>
        <w:t xml:space="preserve"> </w:t>
      </w:r>
      <w:r w:rsidR="00E92F38">
        <w:rPr>
          <w:color w:val="4EA72E" w:themeColor="accent6"/>
        </w:rPr>
        <w:t>Tehtud</w:t>
      </w:r>
    </w:p>
    <w:p w14:paraId="2C6ACDEC" w14:textId="6C17F0A6" w:rsidR="00CE38F6" w:rsidRDefault="00AA2383">
      <w:pPr>
        <w:pStyle w:val="Loendilik"/>
        <w:numPr>
          <w:ilvl w:val="0"/>
          <w:numId w:val="5"/>
        </w:numPr>
      </w:pPr>
      <w:r>
        <w:t xml:space="preserve">lisada info haljastuse taastamise kohta. </w:t>
      </w:r>
      <w:r w:rsidR="00E92F38">
        <w:rPr>
          <w:color w:val="4EA72E" w:themeColor="accent6"/>
        </w:rPr>
        <w:t>Tehtud</w:t>
      </w:r>
    </w:p>
    <w:p w14:paraId="2C6ACDED" w14:textId="77777777" w:rsidR="00CE38F6" w:rsidRDefault="00AA2383">
      <w:pPr>
        <w:pStyle w:val="Loendilik"/>
        <w:numPr>
          <w:ilvl w:val="0"/>
          <w:numId w:val="4"/>
        </w:numPr>
      </w:pPr>
      <w:r>
        <w:t>Riigitee ristumiskoht km 0,64.</w:t>
      </w:r>
    </w:p>
    <w:p w14:paraId="2C6ACDEE" w14:textId="22DF49E8" w:rsidR="00CE38F6" w:rsidRDefault="00AA2383">
      <w:pPr>
        <w:pStyle w:val="Loendilik"/>
        <w:numPr>
          <w:ilvl w:val="0"/>
          <w:numId w:val="6"/>
        </w:numPr>
        <w:spacing w:line="240" w:lineRule="auto"/>
      </w:pPr>
      <w:r>
        <w:t>näidata katte konstruktsioon kuni PK +20,00;</w:t>
      </w:r>
      <w:r w:rsidR="00354B7C">
        <w:t xml:space="preserve"> </w:t>
      </w:r>
      <w:r w:rsidR="00354B7C">
        <w:rPr>
          <w:color w:val="4EA72E" w:themeColor="accent6"/>
        </w:rPr>
        <w:t>Tehtud</w:t>
      </w:r>
    </w:p>
    <w:p w14:paraId="2C6ACDEF" w14:textId="2F1E620D" w:rsidR="00CE38F6" w:rsidRDefault="00AA2383">
      <w:pPr>
        <w:pStyle w:val="Loendilik"/>
        <w:numPr>
          <w:ilvl w:val="0"/>
          <w:numId w:val="6"/>
        </w:numPr>
        <w:spacing w:line="240" w:lineRule="auto"/>
      </w:pPr>
      <w:r>
        <w:t>ristumiskoha raadiused, nõlvade kindlustamine;</w:t>
      </w:r>
      <w:r w:rsidR="00354B7C">
        <w:t xml:space="preserve"> </w:t>
      </w:r>
      <w:r w:rsidR="00354B7C">
        <w:rPr>
          <w:color w:val="4EA72E" w:themeColor="accent6"/>
        </w:rPr>
        <w:t>Tehtud</w:t>
      </w:r>
    </w:p>
    <w:p w14:paraId="2C6ACDF0" w14:textId="49D70D14" w:rsidR="00CE38F6" w:rsidRDefault="00AA2383">
      <w:pPr>
        <w:pStyle w:val="Loendilik"/>
        <w:numPr>
          <w:ilvl w:val="0"/>
          <w:numId w:val="6"/>
        </w:numPr>
        <w:spacing w:line="240" w:lineRule="auto"/>
      </w:pPr>
      <w:bookmarkStart w:id="1" w:name="_Hlk195521669"/>
      <w:r>
        <w:t>truubi diameeter , sisse ja väljavoolu kõrgusarvud, sidumine olemasoleva veeäravoolukraaviga;</w:t>
      </w:r>
      <w:r w:rsidR="00354B7C" w:rsidRPr="00354B7C">
        <w:rPr>
          <w:color w:val="4EA72E" w:themeColor="accent6"/>
        </w:rPr>
        <w:t xml:space="preserve"> </w:t>
      </w:r>
      <w:r w:rsidR="00354B7C">
        <w:rPr>
          <w:color w:val="4EA72E" w:themeColor="accent6"/>
        </w:rPr>
        <w:t>Tehtud</w:t>
      </w:r>
    </w:p>
    <w:bookmarkEnd w:id="1"/>
    <w:p w14:paraId="2C6ACDF1" w14:textId="1019994F" w:rsidR="00CE38F6" w:rsidRDefault="00AA2383">
      <w:pPr>
        <w:pStyle w:val="Loendilik"/>
        <w:numPr>
          <w:ilvl w:val="0"/>
          <w:numId w:val="6"/>
        </w:numPr>
        <w:spacing w:line="240" w:lineRule="auto"/>
      </w:pPr>
      <w:r>
        <w:lastRenderedPageBreak/>
        <w:t xml:space="preserve">vertikaalplaneering </w:t>
      </w:r>
      <w:proofErr w:type="spellStart"/>
      <w:r>
        <w:t>po</w:t>
      </w:r>
      <w:proofErr w:type="spellEnd"/>
      <w:r>
        <w:t xml:space="preserve"> seotud ülesõidu vertikaalplaneeringuga;</w:t>
      </w:r>
      <w:r w:rsidR="00354B7C" w:rsidRPr="00354B7C">
        <w:rPr>
          <w:color w:val="4EA72E" w:themeColor="accent6"/>
        </w:rPr>
        <w:t xml:space="preserve"> </w:t>
      </w:r>
      <w:r w:rsidR="00354B7C">
        <w:rPr>
          <w:color w:val="4EA72E" w:themeColor="accent6"/>
        </w:rPr>
        <w:t>Tehtud</w:t>
      </w:r>
    </w:p>
    <w:p w14:paraId="2C6ACDF2" w14:textId="62D70BA9" w:rsidR="00CE38F6" w:rsidRDefault="00AA2383">
      <w:pPr>
        <w:pStyle w:val="Loendilik"/>
        <w:numPr>
          <w:ilvl w:val="0"/>
          <w:numId w:val="6"/>
        </w:numPr>
        <w:spacing w:line="240" w:lineRule="auto"/>
      </w:pPr>
      <w:r>
        <w:t xml:space="preserve">lisada info haljastuse taastamise kohta; </w:t>
      </w:r>
      <w:r w:rsidR="00354B7C">
        <w:rPr>
          <w:color w:val="4EA72E" w:themeColor="accent6"/>
        </w:rPr>
        <w:t>Tehtud</w:t>
      </w:r>
    </w:p>
    <w:bookmarkEnd w:id="0"/>
    <w:p w14:paraId="2C6ACDF3" w14:textId="4A6B11EA" w:rsidR="00CE38F6" w:rsidRDefault="00AA2383">
      <w:pPr>
        <w:spacing w:line="240" w:lineRule="auto"/>
      </w:pPr>
      <w:r>
        <w:t>3. Veeviimarid:</w:t>
      </w:r>
      <w:r w:rsidR="005C306B">
        <w:t xml:space="preserve"> </w:t>
      </w:r>
      <w:r w:rsidR="005C306B" w:rsidRPr="005C306B">
        <w:rPr>
          <w:highlight w:val="yellow"/>
        </w:rPr>
        <w:t>OK</w:t>
      </w:r>
    </w:p>
    <w:p w14:paraId="2C6ACDF4" w14:textId="75EB76A0" w:rsidR="00CE38F6" w:rsidRDefault="00AA2383">
      <w:pPr>
        <w:pStyle w:val="Loendilik"/>
        <w:numPr>
          <w:ilvl w:val="0"/>
          <w:numId w:val="7"/>
        </w:numPr>
        <w:spacing w:line="240" w:lineRule="auto"/>
      </w:pPr>
      <w:r>
        <w:t>projekteeritavad/likvideeritavad truubid tuleb näidata asendiplaanil ja lõikel (6-6) koos kõrgusliku sidumisega;</w:t>
      </w:r>
      <w:r w:rsidR="00F75421">
        <w:t xml:space="preserve"> </w:t>
      </w:r>
      <w:r w:rsidR="008B4336" w:rsidRPr="00523E90">
        <w:rPr>
          <w:color w:val="4EA72E" w:themeColor="accent6"/>
        </w:rPr>
        <w:t>On juba joonisel olemas olnud.</w:t>
      </w:r>
    </w:p>
    <w:p w14:paraId="2C6ACDF5" w14:textId="13AF8643" w:rsidR="00CE38F6" w:rsidRDefault="00AA2383">
      <w:pPr>
        <w:pStyle w:val="Loendilik"/>
        <w:numPr>
          <w:ilvl w:val="0"/>
          <w:numId w:val="7"/>
        </w:numPr>
        <w:spacing w:line="240" w:lineRule="auto"/>
      </w:pPr>
      <w:r>
        <w:t xml:space="preserve">veeäravoolukraavide ja truupide omavaheline </w:t>
      </w:r>
      <w:proofErr w:type="spellStart"/>
      <w:r>
        <w:t>dimensioneerimine</w:t>
      </w:r>
      <w:proofErr w:type="spellEnd"/>
      <w:r>
        <w:t>, min ja maks veetasemed vastavalt arvutuslikele vooluhulkadele, täiendada seletuskirja;</w:t>
      </w:r>
      <w:r w:rsidR="00F75421">
        <w:t xml:space="preserve"> </w:t>
      </w:r>
      <w:r w:rsidR="00DC5134" w:rsidRPr="00523E90">
        <w:rPr>
          <w:color w:val="4EA72E" w:themeColor="accent6"/>
        </w:rPr>
        <w:t>Ei ole eelprojekti maht.</w:t>
      </w:r>
      <w:r w:rsidR="00523E90">
        <w:rPr>
          <w:color w:val="4EA72E" w:themeColor="accent6"/>
        </w:rPr>
        <w:t xml:space="preserve"> Aga </w:t>
      </w:r>
      <w:r w:rsidR="00031D6A">
        <w:rPr>
          <w:color w:val="4EA72E" w:themeColor="accent6"/>
        </w:rPr>
        <w:t>kraavid on juhitud riigiteest eemale ning kõik on olemasolev vooluhulk.</w:t>
      </w:r>
    </w:p>
    <w:p w14:paraId="2C6ACDF6" w14:textId="4216243F" w:rsidR="00CE38F6" w:rsidRDefault="00AA2383">
      <w:pPr>
        <w:pStyle w:val="Loendilik"/>
        <w:numPr>
          <w:ilvl w:val="0"/>
          <w:numId w:val="7"/>
        </w:numPr>
        <w:spacing w:line="240" w:lineRule="auto"/>
      </w:pPr>
      <w:r>
        <w:t>truupide sisse ja väljavoolude kindlustamine;</w:t>
      </w:r>
      <w:r w:rsidR="00F75421">
        <w:t xml:space="preserve"> </w:t>
      </w:r>
      <w:r w:rsidR="00F75421" w:rsidRPr="00031D6A">
        <w:rPr>
          <w:color w:val="4EA72E" w:themeColor="accent6"/>
        </w:rPr>
        <w:t xml:space="preserve">On </w:t>
      </w:r>
      <w:r w:rsidR="00DC5134" w:rsidRPr="00031D6A">
        <w:rPr>
          <w:color w:val="4EA72E" w:themeColor="accent6"/>
        </w:rPr>
        <w:t>joonistel olnud</w:t>
      </w:r>
    </w:p>
    <w:p w14:paraId="2C6ACDF7" w14:textId="66796757" w:rsidR="00CE38F6" w:rsidRDefault="00AA2383">
      <w:pPr>
        <w:pStyle w:val="Loendilik"/>
        <w:numPr>
          <w:ilvl w:val="0"/>
          <w:numId w:val="7"/>
        </w:numPr>
        <w:spacing w:line="240" w:lineRule="auto"/>
      </w:pPr>
      <w:r>
        <w:t>riigitee aluse truubi likvideerimise tehnoloogia, lisada seletuskirja;</w:t>
      </w:r>
      <w:r w:rsidR="008F1400">
        <w:t xml:space="preserve"> </w:t>
      </w:r>
      <w:r w:rsidR="00BE26FA" w:rsidRPr="00B45553">
        <w:rPr>
          <w:rFonts w:eastAsia="Times New Roman"/>
          <w:color w:val="4EA72E" w:themeColor="accent6"/>
          <w:szCs w:val="24"/>
        </w:rPr>
        <w:t>Tehtud</w:t>
      </w:r>
    </w:p>
    <w:p w14:paraId="2C6ACDF8" w14:textId="77777777" w:rsidR="00CE38F6" w:rsidRDefault="00CE38F6">
      <w:pPr>
        <w:spacing w:line="240" w:lineRule="auto"/>
      </w:pPr>
    </w:p>
    <w:p w14:paraId="2C6ACDF9" w14:textId="77777777" w:rsidR="00CE38F6" w:rsidRDefault="00AA2383">
      <w:pPr>
        <w:spacing w:line="240" w:lineRule="auto"/>
      </w:pPr>
      <w:r>
        <w:t>Täiendavalt, märkuseid võib lisanduda , sõltuvalt esitatud projektlahendusest.</w:t>
      </w:r>
    </w:p>
    <w:sectPr w:rsidR="00CE38F6">
      <w:footerReference w:type="default" r:id="rId13"/>
      <w:footerReference w:type="first" r:id="rId14"/>
      <w:pgSz w:w="11906" w:h="16838"/>
      <w:pgMar w:top="907" w:right="1021" w:bottom="1134" w:left="1814" w:header="896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B29D" w14:textId="77777777" w:rsidR="0056525B" w:rsidRDefault="0056525B">
      <w:pPr>
        <w:spacing w:line="240" w:lineRule="auto"/>
      </w:pPr>
      <w:r>
        <w:separator/>
      </w:r>
    </w:p>
  </w:endnote>
  <w:endnote w:type="continuationSeparator" w:id="0">
    <w:p w14:paraId="063170C3" w14:textId="77777777" w:rsidR="0056525B" w:rsidRDefault="00565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CDD0" w14:textId="77777777" w:rsidR="00AA2383" w:rsidRDefault="00AA2383">
    <w:pPr>
      <w:pStyle w:val="Jalus1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(</w:t>
    </w:r>
    <w:fldSimple w:instr=" NUMPAGES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CDD2" w14:textId="77777777" w:rsidR="00AA2383" w:rsidRDefault="00AA2383">
    <w:pPr>
      <w:pStyle w:val="Jalus1"/>
    </w:pPr>
    <w:r>
      <w:rPr>
        <w:rFonts w:eastAsia="Times New Roman" w:cs="Times New Roman"/>
        <w:kern w:val="0"/>
        <w:szCs w:val="20"/>
        <w:lang w:eastAsia="en-US" w:bidi="ar-SA"/>
      </w:rPr>
      <w:t>Pärnu</w:t>
    </w:r>
    <w:r>
      <w:t xml:space="preserve"> mnt 463a  / 10916 Tallinn / 611 9300 / info@mnt.ee / www.mnt.ee</w:t>
    </w:r>
  </w:p>
  <w:p w14:paraId="2C6ACDD3" w14:textId="77777777" w:rsidR="00AA2383" w:rsidRDefault="00AA2383">
    <w:pPr>
      <w:pStyle w:val="Jalus1"/>
    </w:pPr>
    <w:r>
      <w:t>Registrikood 70001490</w:t>
    </w:r>
  </w:p>
  <w:p w14:paraId="2C6ACDD4" w14:textId="77777777" w:rsidR="00AA2383" w:rsidRDefault="00AA2383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AC07" w14:textId="77777777" w:rsidR="0056525B" w:rsidRDefault="0056525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171F2D0" w14:textId="77777777" w:rsidR="0056525B" w:rsidRDefault="005652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59F"/>
    <w:multiLevelType w:val="multilevel"/>
    <w:tmpl w:val="1E38B6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805697"/>
    <w:multiLevelType w:val="multilevel"/>
    <w:tmpl w:val="6ED0A2B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51C7EBD"/>
    <w:multiLevelType w:val="multilevel"/>
    <w:tmpl w:val="CA302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FE0182"/>
    <w:multiLevelType w:val="multilevel"/>
    <w:tmpl w:val="176256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4A6B00"/>
    <w:multiLevelType w:val="multilevel"/>
    <w:tmpl w:val="7F509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35BE6BC9"/>
    <w:multiLevelType w:val="multilevel"/>
    <w:tmpl w:val="9F64495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031293863">
    <w:abstractNumId w:val="4"/>
  </w:num>
  <w:num w:numId="2" w16cid:durableId="1422406640">
    <w:abstractNumId w:val="4"/>
    <w:lvlOverride w:ilvl="0">
      <w:startOverride w:val="1"/>
    </w:lvlOverride>
  </w:num>
  <w:num w:numId="3" w16cid:durableId="4400941">
    <w:abstractNumId w:val="0"/>
  </w:num>
  <w:num w:numId="4" w16cid:durableId="149952533">
    <w:abstractNumId w:val="2"/>
  </w:num>
  <w:num w:numId="5" w16cid:durableId="1807162405">
    <w:abstractNumId w:val="5"/>
  </w:num>
  <w:num w:numId="6" w16cid:durableId="412625319">
    <w:abstractNumId w:val="1"/>
  </w:num>
  <w:num w:numId="7" w16cid:durableId="37955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8F6"/>
    <w:rsid w:val="00002F39"/>
    <w:rsid w:val="000132F7"/>
    <w:rsid w:val="00031D6A"/>
    <w:rsid w:val="00066CBF"/>
    <w:rsid w:val="000F694C"/>
    <w:rsid w:val="00153FD3"/>
    <w:rsid w:val="00261880"/>
    <w:rsid w:val="00294109"/>
    <w:rsid w:val="002941F2"/>
    <w:rsid w:val="002A1B95"/>
    <w:rsid w:val="003053A6"/>
    <w:rsid w:val="00354B7C"/>
    <w:rsid w:val="003E266E"/>
    <w:rsid w:val="00497244"/>
    <w:rsid w:val="004F3253"/>
    <w:rsid w:val="00523E90"/>
    <w:rsid w:val="0056525B"/>
    <w:rsid w:val="005A2D31"/>
    <w:rsid w:val="005A3189"/>
    <w:rsid w:val="005B41B3"/>
    <w:rsid w:val="005C306B"/>
    <w:rsid w:val="005F7121"/>
    <w:rsid w:val="006258A2"/>
    <w:rsid w:val="006274BD"/>
    <w:rsid w:val="0062758A"/>
    <w:rsid w:val="00646A7D"/>
    <w:rsid w:val="006659A4"/>
    <w:rsid w:val="006714BD"/>
    <w:rsid w:val="006E4C2A"/>
    <w:rsid w:val="00813065"/>
    <w:rsid w:val="008B4336"/>
    <w:rsid w:val="008B6F54"/>
    <w:rsid w:val="008F1400"/>
    <w:rsid w:val="00983B80"/>
    <w:rsid w:val="009849B6"/>
    <w:rsid w:val="009A6736"/>
    <w:rsid w:val="00A04404"/>
    <w:rsid w:val="00AA2383"/>
    <w:rsid w:val="00AF6D8C"/>
    <w:rsid w:val="00B138FF"/>
    <w:rsid w:val="00B21391"/>
    <w:rsid w:val="00B2244B"/>
    <w:rsid w:val="00B32B49"/>
    <w:rsid w:val="00B45553"/>
    <w:rsid w:val="00B671F5"/>
    <w:rsid w:val="00BD63DB"/>
    <w:rsid w:val="00BE26FA"/>
    <w:rsid w:val="00C22C69"/>
    <w:rsid w:val="00CD0277"/>
    <w:rsid w:val="00CE38F6"/>
    <w:rsid w:val="00CE5926"/>
    <w:rsid w:val="00D06E89"/>
    <w:rsid w:val="00D204CD"/>
    <w:rsid w:val="00D60FF7"/>
    <w:rsid w:val="00D96DF8"/>
    <w:rsid w:val="00DC5134"/>
    <w:rsid w:val="00DD23EB"/>
    <w:rsid w:val="00DE6267"/>
    <w:rsid w:val="00E92F38"/>
    <w:rsid w:val="00EB797E"/>
    <w:rsid w:val="00ED0414"/>
    <w:rsid w:val="00ED53E1"/>
    <w:rsid w:val="00ED573E"/>
    <w:rsid w:val="00F315C1"/>
    <w:rsid w:val="00F5497F"/>
    <w:rsid w:val="00F75421"/>
    <w:rsid w:val="00F92AFC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CDC4"/>
  <w15:docId w15:val="{93BB1EAD-F394-49F7-A83D-4D44A22B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  <w:spacing w:line="238" w:lineRule="exact"/>
      <w:jc w:val="both"/>
    </w:pPr>
    <w:rPr>
      <w:rFonts w:eastAsia="SimSun"/>
      <w:kern w:val="3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240"/>
      <w:outlineLvl w:val="0"/>
    </w:pPr>
    <w:rPr>
      <w:rFonts w:ascii="Aptos Display" w:eastAsia="Times New Roman" w:hAnsi="Aptos Display" w:cs="Mangal"/>
      <w:color w:val="0F4761"/>
      <w:sz w:val="32"/>
      <w:szCs w:val="29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MS Gothic" w:hAnsi="Cambria" w:cs="Mangal"/>
      <w:color w:val="243F60"/>
      <w:szCs w:val="21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tabs>
        <w:tab w:val="left" w:pos="864"/>
      </w:tabs>
      <w:autoSpaceDE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lang w:eastAsia="et-EE" w:bidi="ar-SA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tabs>
        <w:tab w:val="left" w:pos="1008"/>
      </w:tabs>
      <w:autoSpaceDE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lang w:eastAsia="et-EE" w:bidi="ar-SA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tabs>
        <w:tab w:val="left" w:pos="1152"/>
      </w:tabs>
      <w:autoSpaceDE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lang w:eastAsia="et-EE" w:bidi="ar-SA"/>
    </w:rPr>
  </w:style>
  <w:style w:type="paragraph" w:styleId="Pealkiri7">
    <w:name w:val="heading 7"/>
    <w:basedOn w:val="Normaallaad"/>
    <w:next w:val="Normaallaad"/>
    <w:pPr>
      <w:tabs>
        <w:tab w:val="left" w:pos="1296"/>
      </w:tabs>
      <w:autoSpaceDE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lang w:eastAsia="et-EE" w:bidi="ar-SA"/>
    </w:rPr>
  </w:style>
  <w:style w:type="paragraph" w:styleId="Pealkiri8">
    <w:name w:val="heading 8"/>
    <w:basedOn w:val="Normaallaad"/>
    <w:next w:val="Normaallaad"/>
    <w:pPr>
      <w:tabs>
        <w:tab w:val="left" w:pos="1440"/>
      </w:tabs>
      <w:autoSpaceDE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lang w:eastAsia="et-EE" w:bidi="ar-SA"/>
    </w:rPr>
  </w:style>
  <w:style w:type="paragraph" w:styleId="Pealkiri9">
    <w:name w:val="heading 9"/>
    <w:basedOn w:val="Normaallaad"/>
    <w:next w:val="Normaallaad"/>
    <w:pPr>
      <w:tabs>
        <w:tab w:val="left" w:pos="1584"/>
      </w:tabs>
      <w:autoSpaceDE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perlink">
    <w:name w:val="Hyperlink"/>
    <w:rPr>
      <w:color w:val="000080"/>
      <w:u w:val="single"/>
    </w:rPr>
  </w:style>
  <w:style w:type="paragraph" w:customStyle="1" w:styleId="Heading">
    <w:name w:val="Heading"/>
    <w:basedOn w:val="Normaallaad"/>
    <w:next w:val="Normaalla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pPr>
      <w:widowControl w:val="0"/>
      <w:suppressAutoHyphens/>
    </w:pPr>
    <w:rPr>
      <w:rFonts w:eastAsia="SimSun" w:cs="Mangal"/>
      <w:kern w:val="3"/>
      <w:szCs w:val="24"/>
      <w:lang w:eastAsia="zh-CN" w:bidi="hi-IN"/>
    </w:rPr>
  </w:style>
  <w:style w:type="paragraph" w:styleId="Loend">
    <w:name w:val="List"/>
    <w:basedOn w:val="Normaallaad"/>
    <w:pPr>
      <w:spacing w:after="120"/>
    </w:pPr>
  </w:style>
  <w:style w:type="paragraph" w:styleId="Pis">
    <w:name w:val="header"/>
    <w:basedOn w:val="Normaallaa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pPr>
      <w:suppressLineNumbers/>
    </w:pPr>
  </w:style>
  <w:style w:type="character" w:customStyle="1" w:styleId="HeaderChar">
    <w:name w:val="Header Char"/>
    <w:basedOn w:val="Liguvaikefont"/>
    <w:rPr>
      <w:rFonts w:eastAsia="SimSun" w:cs="Mangal"/>
      <w:kern w:val="3"/>
      <w:sz w:val="24"/>
      <w:szCs w:val="21"/>
      <w:lang w:eastAsia="zh-CN" w:bidi="hi-IN"/>
    </w:rPr>
  </w:style>
  <w:style w:type="paragraph" w:styleId="Jalus">
    <w:name w:val="footer"/>
    <w:basedOn w:val="Normaallaa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Liguvaikefont"/>
    <w:rPr>
      <w:rFonts w:eastAsia="SimSun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4Char">
    <w:name w:val="Heading 4 Char"/>
    <w:basedOn w:val="Liguvaikefont"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Liguvaikefont"/>
    <w:rPr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Liguvaikefont"/>
    <w:rPr>
      <w:b/>
      <w:bCs/>
      <w:color w:val="000000"/>
      <w:sz w:val="22"/>
      <w:szCs w:val="22"/>
    </w:rPr>
  </w:style>
  <w:style w:type="character" w:customStyle="1" w:styleId="Heading7Char">
    <w:name w:val="Heading 7 Char"/>
    <w:basedOn w:val="Liguvaikefont"/>
    <w:rPr>
      <w:color w:val="000000"/>
      <w:sz w:val="24"/>
      <w:szCs w:val="24"/>
    </w:rPr>
  </w:style>
  <w:style w:type="character" w:customStyle="1" w:styleId="Heading8Char">
    <w:name w:val="Heading 8 Char"/>
    <w:basedOn w:val="Liguvaikefont"/>
    <w:rPr>
      <w:i/>
      <w:iCs/>
      <w:color w:val="000000"/>
      <w:sz w:val="24"/>
      <w:szCs w:val="24"/>
    </w:rPr>
  </w:style>
  <w:style w:type="character" w:customStyle="1" w:styleId="Heading9Char">
    <w:name w:val="Heading 9 Char"/>
    <w:basedOn w:val="Liguvaikefont"/>
    <w:rPr>
      <w:rFonts w:ascii="Arial" w:hAnsi="Arial" w:cs="Arial"/>
      <w:color w:val="000000"/>
      <w:sz w:val="22"/>
      <w:szCs w:val="22"/>
    </w:rPr>
  </w:style>
  <w:style w:type="paragraph" w:styleId="Loend2">
    <w:name w:val="List 2"/>
    <w:basedOn w:val="Normaallaad"/>
    <w:pPr>
      <w:tabs>
        <w:tab w:val="left" w:pos="431"/>
      </w:tabs>
      <w:autoSpaceDE w:val="0"/>
      <w:spacing w:line="240" w:lineRule="auto"/>
      <w:ind w:left="431" w:hanging="431"/>
    </w:pPr>
    <w:rPr>
      <w:rFonts w:eastAsia="Times New Roman"/>
      <w:color w:val="000000"/>
      <w:kern w:val="0"/>
      <w:lang w:eastAsia="et-EE" w:bidi="ar-SA"/>
    </w:rPr>
  </w:style>
  <w:style w:type="paragraph" w:customStyle="1" w:styleId="AK">
    <w:name w:val="AK"/>
    <w:autoRedefine/>
    <w:pPr>
      <w:keepNext/>
      <w:keepLines/>
      <w:suppressLineNumbers/>
      <w:suppressAutoHyphens/>
    </w:pPr>
    <w:rPr>
      <w:rFonts w:eastAsia="SimSun"/>
      <w:bCs/>
      <w:color w:val="FF0000"/>
      <w:kern w:val="3"/>
      <w:lang w:eastAsia="zh-CN" w:bidi="hi-IN"/>
    </w:rPr>
  </w:style>
  <w:style w:type="paragraph" w:customStyle="1" w:styleId="Adressaat">
    <w:name w:val="Adressaat"/>
    <w:autoRedefine/>
    <w:pPr>
      <w:suppressAutoHyphens/>
    </w:pPr>
    <w:rPr>
      <w:rFonts w:eastAsia="SimSun"/>
      <w:kern w:val="3"/>
      <w:sz w:val="24"/>
      <w:szCs w:val="24"/>
      <w:lang w:eastAsia="zh-CN" w:bidi="hi-IN"/>
    </w:rPr>
  </w:style>
  <w:style w:type="paragraph" w:customStyle="1" w:styleId="Pealkiri10">
    <w:name w:val="Pealkiri1"/>
    <w:autoRedefine/>
    <w:pPr>
      <w:suppressAutoHyphens/>
      <w:spacing w:after="560"/>
    </w:pPr>
    <w:rPr>
      <w:rFonts w:eastAsia="SimSun"/>
      <w:b/>
      <w:kern w:val="3"/>
      <w:sz w:val="24"/>
      <w:szCs w:val="24"/>
      <w:lang w:eastAsia="zh-CN" w:bidi="hi-IN"/>
    </w:rPr>
  </w:style>
  <w:style w:type="paragraph" w:customStyle="1" w:styleId="Snum">
    <w:name w:val="Sõnum"/>
    <w:autoRedefine/>
    <w:pPr>
      <w:suppressAutoHyphens/>
      <w:jc w:val="both"/>
    </w:pPr>
    <w:rPr>
      <w:rFonts w:eastAsia="SimSun" w:cs="Mangal"/>
      <w:kern w:val="3"/>
      <w:sz w:val="24"/>
      <w:szCs w:val="24"/>
      <w:lang w:eastAsia="zh-CN" w:bidi="hi-IN"/>
    </w:rPr>
  </w:style>
  <w:style w:type="paragraph" w:styleId="Jutumullitekst">
    <w:name w:val="Balloon Text"/>
    <w:basedOn w:val="Normaallaa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Liguvaikefont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aadress">
    <w:name w:val="aadress"/>
    <w:basedOn w:val="Normaallaad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pPr>
      <w:widowControl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Kehatekst">
    <w:name w:val="Body Text"/>
    <w:basedOn w:val="Normaallaad"/>
    <w:pPr>
      <w:widowControl/>
      <w:spacing w:after="120" w:line="240" w:lineRule="auto"/>
      <w:jc w:val="left"/>
    </w:pPr>
    <w:rPr>
      <w:rFonts w:eastAsia="Times New Roman"/>
      <w:kern w:val="0"/>
      <w:szCs w:val="20"/>
      <w:lang w:eastAsia="ar-SA" w:bidi="ar-SA"/>
    </w:rPr>
  </w:style>
  <w:style w:type="character" w:customStyle="1" w:styleId="BodyTextChar">
    <w:name w:val="Body Text Char"/>
    <w:basedOn w:val="Liguvaikefont"/>
    <w:rPr>
      <w:sz w:val="24"/>
      <w:lang w:eastAsia="ar-SA"/>
    </w:rPr>
  </w:style>
  <w:style w:type="character" w:customStyle="1" w:styleId="CommentReference1">
    <w:name w:val="Comment Reference1"/>
    <w:rPr>
      <w:sz w:val="16"/>
      <w:szCs w:val="16"/>
    </w:rPr>
  </w:style>
  <w:style w:type="paragraph" w:customStyle="1" w:styleId="CommentText1">
    <w:name w:val="Comment Text1"/>
    <w:basedOn w:val="Normaallaad"/>
    <w:pPr>
      <w:widowControl/>
      <w:spacing w:line="240" w:lineRule="auto"/>
      <w:jc w:val="left"/>
    </w:pPr>
    <w:rPr>
      <w:rFonts w:eastAsia="Times New Roman"/>
      <w:kern w:val="0"/>
      <w:sz w:val="20"/>
      <w:szCs w:val="20"/>
      <w:lang w:eastAsia="ar-SA" w:bidi="ar-SA"/>
    </w:rPr>
  </w:style>
  <w:style w:type="character" w:customStyle="1" w:styleId="CommentTextChar">
    <w:name w:val="Comment Text Char"/>
    <w:basedOn w:val="Liguvaikefont"/>
    <w:rPr>
      <w:lang w:eastAsia="ar-SA"/>
    </w:rPr>
  </w:style>
  <w:style w:type="paragraph" w:styleId="Loendilik">
    <w:name w:val="List Paragraph"/>
    <w:basedOn w:val="Normaallaad"/>
    <w:pPr>
      <w:ind w:left="720"/>
      <w:contextualSpacing/>
    </w:pPr>
    <w:rPr>
      <w:rFonts w:cs="Mangal"/>
      <w:szCs w:val="21"/>
    </w:rPr>
  </w:style>
  <w:style w:type="paragraph" w:customStyle="1" w:styleId="CommentSubject1">
    <w:name w:val="Comment Subject1"/>
    <w:basedOn w:val="CommentText1"/>
    <w:next w:val="CommentText1"/>
    <w:pPr>
      <w:widowControl w:val="0"/>
      <w:jc w:val="both"/>
    </w:pPr>
    <w:rPr>
      <w:rFonts w:eastAsia="SimSun" w:cs="Mangal"/>
      <w:b/>
      <w:bCs/>
      <w:kern w:val="3"/>
      <w:szCs w:val="18"/>
      <w:lang w:eastAsia="zh-CN" w:bidi="hi-IN"/>
    </w:rPr>
  </w:style>
  <w:style w:type="character" w:customStyle="1" w:styleId="CommentSubjectChar">
    <w:name w:val="Comment Subject Char"/>
    <w:basedOn w:val="CommentTextChar"/>
    <w:rPr>
      <w:rFonts w:eastAsia="SimSun" w:cs="Mangal"/>
      <w:b/>
      <w:bCs/>
      <w:kern w:val="3"/>
      <w:szCs w:val="18"/>
      <w:lang w:eastAsia="zh-CN" w:bidi="hi-IN"/>
    </w:rPr>
  </w:style>
  <w:style w:type="paragraph" w:styleId="Redaktsioon">
    <w:name w:val="Revision"/>
    <w:pPr>
      <w:suppressAutoHyphens/>
    </w:pPr>
    <w:rPr>
      <w:rFonts w:eastAsia="SimSun" w:cs="Mangal"/>
      <w:kern w:val="3"/>
      <w:sz w:val="24"/>
      <w:szCs w:val="21"/>
      <w:lang w:eastAsia="zh-CN" w:bidi="hi-IN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  <w:style w:type="character" w:customStyle="1" w:styleId="normaltextrun">
    <w:name w:val="normaltextrun"/>
    <w:basedOn w:val="Liguvaikefont"/>
  </w:style>
  <w:style w:type="character" w:customStyle="1" w:styleId="Heading3Char">
    <w:name w:val="Heading 3 Char"/>
    <w:basedOn w:val="Liguvaikefont"/>
    <w:rPr>
      <w:rFonts w:ascii="Cambria" w:eastAsia="MS Gothic" w:hAnsi="Cambria" w:cs="Mangal"/>
      <w:color w:val="243F60"/>
      <w:kern w:val="3"/>
      <w:sz w:val="24"/>
      <w:szCs w:val="21"/>
      <w:lang w:eastAsia="zh-CN" w:bidi="hi-IN"/>
    </w:rPr>
  </w:style>
  <w:style w:type="paragraph" w:customStyle="1" w:styleId="Default">
    <w:name w:val="Default"/>
    <w:pPr>
      <w:autoSpaceDE w:val="0"/>
    </w:pPr>
    <w:rPr>
      <w:color w:val="000000"/>
      <w:sz w:val="24"/>
      <w:szCs w:val="24"/>
    </w:rPr>
  </w:style>
  <w:style w:type="character" w:customStyle="1" w:styleId="Pealkiri2Mrk">
    <w:name w:val="Pealkiri 2 Märk"/>
    <w:basedOn w:val="Liguvaikefont"/>
    <w:rPr>
      <w:rFonts w:ascii="Calibri Light" w:eastAsia="Times New Roman" w:hAnsi="Calibri Light" w:cs="Mangal"/>
      <w:color w:val="2F5496"/>
      <w:kern w:val="3"/>
      <w:sz w:val="26"/>
      <w:szCs w:val="23"/>
      <w:lang w:eastAsia="zh-CN" w:bidi="hi-IN"/>
    </w:rPr>
  </w:style>
  <w:style w:type="character" w:customStyle="1" w:styleId="eop">
    <w:name w:val="eop"/>
    <w:basedOn w:val="Liguvaikefont"/>
  </w:style>
  <w:style w:type="character" w:customStyle="1" w:styleId="Pealkiri1Mrk">
    <w:name w:val="Pealkiri 1 Märk"/>
    <w:basedOn w:val="Liguvaikefont"/>
    <w:rPr>
      <w:rFonts w:ascii="Aptos Display" w:eastAsia="Times New Roman" w:hAnsi="Aptos Display" w:cs="Mangal"/>
      <w:color w:val="0F4761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pordiamet.ee/sites/default/files/documents/2023-01/OT_018_J1_r1_Riigiteede%20liikluskorralduse%20juhend%20%281%29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\K-PROJEKT%20AS\KP%20-%2023075%20Tallinna%20mnt%2040%20kinnistu%20EP\04_Koosk&#245;lastused\2025-04-14%20TRAM%20m&#228;rkused\kirjaplank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eff7ba-cf0b-40a0-be44-c4d30b64c637" xsi:nil="true"/>
    <lcf76f155ced4ddcb4097134ff3c332f xmlns="2b4844db-bebc-4f45-806b-e4db0881f5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C68741EC86E4B8F436944CC453182" ma:contentTypeVersion="15" ma:contentTypeDescription="Create a new document." ma:contentTypeScope="" ma:versionID="92e25412837a223eddb39df5caa3ad5f">
  <xsd:schema xmlns:xsd="http://www.w3.org/2001/XMLSchema" xmlns:xs="http://www.w3.org/2001/XMLSchema" xmlns:p="http://schemas.microsoft.com/office/2006/metadata/properties" xmlns:ns2="2b4844db-bebc-4f45-806b-e4db0881f561" xmlns:ns3="50eff7ba-cf0b-40a0-be44-c4d30b64c637" targetNamespace="http://schemas.microsoft.com/office/2006/metadata/properties" ma:root="true" ma:fieldsID="54347047035be7044733d51a32892ab5" ns2:_="" ns3:_="">
    <xsd:import namespace="2b4844db-bebc-4f45-806b-e4db0881f561"/>
    <xsd:import namespace="50eff7ba-cf0b-40a0-be44-c4d30b64c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44db-bebc-4f45-806b-e4db0881f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7689b48-c3e8-425f-86df-ae3612957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7ba-cf0b-40a0-be44-c4d30b64c63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c58e75-2ba8-4d8a-8bf3-ceb6daafceaf}" ma:internalName="TaxCatchAll" ma:showField="CatchAllData" ma:web="50eff7ba-cf0b-40a0-be44-c4d30b64c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ACF1B-A917-4111-A7AD-CFD60454A261}">
  <ds:schemaRefs>
    <ds:schemaRef ds:uri="http://schemas.microsoft.com/office/2006/metadata/properties"/>
    <ds:schemaRef ds:uri="http://schemas.microsoft.com/office/infopath/2007/PartnerControls"/>
    <ds:schemaRef ds:uri="50eff7ba-cf0b-40a0-be44-c4d30b64c637"/>
    <ds:schemaRef ds:uri="2b4844db-bebc-4f45-806b-e4db0881f561"/>
  </ds:schemaRefs>
</ds:datastoreItem>
</file>

<file path=customXml/itemProps2.xml><?xml version="1.0" encoding="utf-8"?>
<ds:datastoreItem xmlns:ds="http://schemas.openxmlformats.org/officeDocument/2006/customXml" ds:itemID="{8921D628-2003-4099-9517-1BC04624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44db-bebc-4f45-806b-e4db0881f561"/>
    <ds:schemaRef ds:uri="50eff7ba-cf0b-40a0-be44-c4d30b64c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93AA0-4263-4648-B96E-382EA1641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26</TotalTime>
  <Pages>3</Pages>
  <Words>840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</dc:creator>
  <dc:description/>
  <cp:lastModifiedBy>Priit Annusver | K-Projekt</cp:lastModifiedBy>
  <cp:revision>15</cp:revision>
  <cp:lastPrinted>2014-04-03T00:06:00Z</cp:lastPrinted>
  <dcterms:created xsi:type="dcterms:W3CDTF">2025-05-21T12:25:00Z</dcterms:created>
  <dcterms:modified xsi:type="dcterms:W3CDTF">2025-05-28T07:17:00Z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0x0101001AEC68741EC86E4B8F436944CC453182</vt:lpwstr>
  </property>
  <property fmtid="{D5CDD505-2E9C-101B-9397-08002B2CF9AE}" pid="3" name="MediaServiceImageTags">
    <vt:lpwstr/>
  </property>
  <property fmtid="{D5CDD505-2E9C-101B-9397-08002B2CF9AE}" pid="4" name="Order">
    <vt:r8>202100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